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F3D82" w14:textId="77777777" w:rsidR="00F65A3F" w:rsidRDefault="00F65A3F" w:rsidP="00F65A3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623764D0" w14:textId="77777777" w:rsidR="00F65A3F" w:rsidRDefault="00F65A3F" w:rsidP="00F65A3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2236F6F" w14:textId="59B2A032" w:rsidR="00F65A3F" w:rsidRDefault="00F65A3F" w:rsidP="00F65A3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176BD7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176BD7">
        <w:rPr>
          <w:rFonts w:ascii="Corbel" w:hAnsi="Corbel"/>
          <w:b/>
          <w:smallCaps/>
          <w:sz w:val="24"/>
          <w:szCs w:val="24"/>
        </w:rPr>
        <w:t>8</w:t>
      </w:r>
    </w:p>
    <w:p w14:paraId="2476B012" w14:textId="77777777" w:rsidR="00F65A3F" w:rsidRDefault="00F65A3F" w:rsidP="00F65A3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0B28BA5" w14:textId="5BF1427E" w:rsidR="00F65A3F" w:rsidRPr="00EA4832" w:rsidRDefault="00F65A3F" w:rsidP="00F65A3F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176BD7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176BD7">
        <w:rPr>
          <w:rFonts w:ascii="Corbel" w:hAnsi="Corbel"/>
          <w:sz w:val="20"/>
          <w:szCs w:val="20"/>
        </w:rPr>
        <w:t>8</w:t>
      </w:r>
    </w:p>
    <w:p w14:paraId="0C6E7FD4" w14:textId="77777777" w:rsidR="009A7D29" w:rsidRPr="001A5082" w:rsidRDefault="009A7D29">
      <w:pPr>
        <w:pStyle w:val="Punktygwne"/>
        <w:spacing w:before="0" w:after="0"/>
        <w:rPr>
          <w:rFonts w:ascii="Corbel" w:hAnsi="Corbel"/>
          <w:color w:val="000000"/>
          <w:szCs w:val="24"/>
        </w:rPr>
      </w:pPr>
      <w:r w:rsidRPr="001A5082">
        <w:rPr>
          <w:rFonts w:ascii="Corbel" w:hAnsi="Corbel"/>
          <w:color w:val="000000"/>
          <w:szCs w:val="24"/>
        </w:rPr>
        <w:t>1. Podstawowe informacje o przedmiocie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9A7D29" w14:paraId="0A4402DC" w14:textId="77777777" w:rsidTr="09898B2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E464EE" w14:textId="77777777" w:rsidR="009A7D29" w:rsidRDefault="009D3974" w:rsidP="67B6A974">
            <w:pPr>
              <w:pStyle w:val="Odpowiedzi"/>
              <w:spacing w:before="28" w:after="100"/>
              <w:rPr>
                <w:rFonts w:ascii="Corbel" w:hAnsi="Corbel"/>
                <w:bCs/>
                <w:sz w:val="24"/>
                <w:szCs w:val="24"/>
              </w:rPr>
            </w:pPr>
            <w:r w:rsidRPr="67B6A974">
              <w:rPr>
                <w:rFonts w:ascii="Corbel" w:hAnsi="Corbel"/>
                <w:bCs/>
                <w:sz w:val="24"/>
                <w:szCs w:val="24"/>
              </w:rPr>
              <w:t xml:space="preserve">Opieka dyplomatyczna i ochrona konsularna </w:t>
            </w:r>
            <w:r w:rsidR="00EE7247" w:rsidRPr="67B6A974">
              <w:rPr>
                <w:rFonts w:ascii="Corbel" w:hAnsi="Corbel"/>
                <w:bCs/>
                <w:sz w:val="24"/>
                <w:szCs w:val="24"/>
              </w:rPr>
              <w:t xml:space="preserve">obywateli </w:t>
            </w:r>
            <w:r w:rsidRPr="67B6A974">
              <w:rPr>
                <w:rFonts w:ascii="Corbel" w:hAnsi="Corbel"/>
                <w:bCs/>
                <w:sz w:val="24"/>
                <w:szCs w:val="24"/>
              </w:rPr>
              <w:t>państw członkowskich UE</w:t>
            </w:r>
          </w:p>
        </w:tc>
      </w:tr>
      <w:tr w:rsidR="009A7D29" w14:paraId="65718AAB" w14:textId="77777777" w:rsidTr="09898B2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2FF7D5" w14:textId="77777777" w:rsidR="009A7D29" w:rsidRDefault="00EB5440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MK_45</w:t>
            </w:r>
          </w:p>
        </w:tc>
      </w:tr>
      <w:tr w:rsidR="009A7D29" w14:paraId="5C0172EC" w14:textId="77777777" w:rsidTr="09898B2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9A7D29" w:rsidRDefault="009A7D2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4B4BA338" w:rsidR="009A7D29" w:rsidRDefault="00176BD7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3C6F48" w:rsidRPr="003C6F48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9A7D29" w14:paraId="52EF737E" w14:textId="77777777" w:rsidTr="09898B2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CFAE1" w14:textId="2428EEB6" w:rsidR="009A7D29" w:rsidRDefault="00952982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952982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9A7D29" w14:paraId="58415E7B" w14:textId="77777777" w:rsidTr="09898B2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61E9E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9A7D29" w14:paraId="11529C0C" w14:textId="77777777" w:rsidTr="09898B2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0E256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9A7D29" w14:paraId="3A488BE5" w14:textId="77777777" w:rsidTr="09898B2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EED7E" w14:textId="77777777" w:rsidR="009A7D29" w:rsidRDefault="00EB5440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A7D29" w14:paraId="5C70B2EB" w14:textId="77777777" w:rsidTr="09898B2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B68402" w14:textId="1FFC2199" w:rsidR="009A7D29" w:rsidRDefault="00176BD7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C6F48" w:rsidRPr="003C6F4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A7D29" w14:paraId="0D5168EE" w14:textId="77777777" w:rsidTr="09898B2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767C2" w14:textId="285E70D9" w:rsidR="009A7D29" w:rsidRPr="001A5082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1A508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34BA3">
              <w:rPr>
                <w:rFonts w:ascii="Corbel" w:hAnsi="Corbel"/>
                <w:b w:val="0"/>
                <w:sz w:val="24"/>
                <w:szCs w:val="24"/>
              </w:rPr>
              <w:t>I /</w:t>
            </w:r>
            <w:r w:rsidRPr="001A5082"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="009A7D29" w14:paraId="5FCFFCE1" w14:textId="77777777" w:rsidTr="09898B2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1AE4E" w14:textId="6F99949B" w:rsidR="009A7D29" w:rsidRPr="001A5082" w:rsidRDefault="240467BA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9898B20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A7D29" w14:paraId="26EB6C12" w14:textId="77777777" w:rsidTr="09898B2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1FAC9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A7D29" w14:paraId="3E543895" w14:textId="77777777" w:rsidTr="09898B2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7FE74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</w:p>
        </w:tc>
      </w:tr>
      <w:tr w:rsidR="009A7D29" w14:paraId="638D42A8" w14:textId="77777777" w:rsidTr="09898B20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27127" w14:textId="2E9F5B88" w:rsidR="009A7D29" w:rsidRDefault="00BE7C7D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Marcisz-Dynia</w:t>
            </w:r>
            <w:r w:rsidR="003C6F48" w:rsidRPr="003C6F4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7A64E18" w14:textId="77777777" w:rsidR="009A7D29" w:rsidRDefault="009A7D29">
      <w:pPr>
        <w:pStyle w:val="Podpunkty"/>
        <w:spacing w:before="28" w:after="100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37501D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9A7D29" w:rsidRPr="001A5082" w:rsidRDefault="009A7D29">
      <w:pPr>
        <w:pStyle w:val="Podpunkty"/>
        <w:ind w:left="284"/>
        <w:rPr>
          <w:rFonts w:ascii="Corbel" w:hAnsi="Corbel"/>
          <w:color w:val="000000"/>
          <w:sz w:val="24"/>
          <w:szCs w:val="24"/>
        </w:rPr>
      </w:pPr>
      <w:r w:rsidRPr="001A5082">
        <w:rPr>
          <w:rFonts w:ascii="Corbel" w:hAnsi="Corbel"/>
          <w:color w:val="000000"/>
          <w:sz w:val="24"/>
          <w:szCs w:val="24"/>
        </w:rPr>
        <w:t xml:space="preserve">1.1.Formy zajęć dydaktycznych, wymiar godzin i punktów ECTS </w:t>
      </w:r>
    </w:p>
    <w:p w14:paraId="5DAB6C7B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840"/>
        <w:gridCol w:w="669"/>
        <w:gridCol w:w="990"/>
        <w:gridCol w:w="780"/>
        <w:gridCol w:w="810"/>
        <w:gridCol w:w="687"/>
        <w:gridCol w:w="957"/>
        <w:gridCol w:w="1206"/>
        <w:gridCol w:w="1548"/>
      </w:tblGrid>
      <w:tr w:rsidR="009A7D29" w14:paraId="4A00F406" w14:textId="77777777" w:rsidTr="00A34BA3">
        <w:tc>
          <w:tcPr>
            <w:tcW w:w="1260" w:type="dxa"/>
          </w:tcPr>
          <w:p w14:paraId="493A0CA5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40" w:type="dxa"/>
            <w:vAlign w:val="center"/>
          </w:tcPr>
          <w:p w14:paraId="3860AB22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669" w:type="dxa"/>
            <w:vAlign w:val="center"/>
          </w:tcPr>
          <w:p w14:paraId="646F369B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vAlign w:val="center"/>
          </w:tcPr>
          <w:p w14:paraId="409DDADA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0" w:type="dxa"/>
            <w:vAlign w:val="center"/>
          </w:tcPr>
          <w:p w14:paraId="0AB6E05A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vAlign w:val="center"/>
          </w:tcPr>
          <w:p w14:paraId="0B273B9D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7" w:type="dxa"/>
            <w:vAlign w:val="center"/>
          </w:tcPr>
          <w:p w14:paraId="63A8E3D2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vAlign w:val="center"/>
          </w:tcPr>
          <w:p w14:paraId="5B5B1B43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vAlign w:val="center"/>
          </w:tcPr>
          <w:p w14:paraId="7474E17E" w14:textId="77777777" w:rsidR="009A7D29" w:rsidRDefault="009A7D29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7D29" w14:paraId="5909C4E3" w14:textId="77777777" w:rsidTr="00A34BA3">
        <w:trPr>
          <w:trHeight w:val="453"/>
        </w:trPr>
        <w:tc>
          <w:tcPr>
            <w:tcW w:w="1260" w:type="dxa"/>
          </w:tcPr>
          <w:p w14:paraId="345A8E22" w14:textId="77777777" w:rsidR="009A7D29" w:rsidRDefault="003C6F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40" w:type="dxa"/>
            <w:vAlign w:val="center"/>
          </w:tcPr>
          <w:p w14:paraId="02EB378F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69" w:type="dxa"/>
            <w:vAlign w:val="center"/>
          </w:tcPr>
          <w:p w14:paraId="377C821B" w14:textId="1C632B6E" w:rsidR="009A7D29" w:rsidRDefault="001A6E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F22A24A">
              <w:rPr>
                <w:rFonts w:ascii="Corbel" w:hAnsi="Corbel"/>
                <w:sz w:val="24"/>
                <w:szCs w:val="24"/>
              </w:rPr>
              <w:t>2</w:t>
            </w:r>
            <w:r w:rsidR="003C6F48" w:rsidRPr="1F22A24A">
              <w:rPr>
                <w:rFonts w:ascii="Corbel" w:hAnsi="Corbel"/>
                <w:sz w:val="24"/>
                <w:szCs w:val="24"/>
              </w:rPr>
              <w:t>0</w:t>
            </w:r>
            <w:r w:rsidR="00923988" w:rsidRPr="1F22A24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6A05A809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A39BBE3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41C8F396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14:paraId="72A3D3EC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D0B940D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E27B00A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8" w:type="dxa"/>
            <w:vAlign w:val="center"/>
          </w:tcPr>
          <w:p w14:paraId="18F999B5" w14:textId="77777777" w:rsidR="009A7D29" w:rsidRDefault="003C6F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A7D29" w:rsidRDefault="009A7D29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7713D631" w14:textId="77777777" w:rsidR="009A7D29" w:rsidRPr="001A5082" w:rsidRDefault="009A7D29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1.2.</w:t>
      </w:r>
      <w:r w:rsidRPr="001A5082">
        <w:rPr>
          <w:rFonts w:ascii="Corbel" w:hAnsi="Corbel"/>
          <w:smallCaps w:val="0"/>
          <w:color w:val="000000"/>
          <w:szCs w:val="24"/>
        </w:rPr>
        <w:tab/>
        <w:t xml:space="preserve">Sposób realizacji zajęć  </w:t>
      </w:r>
    </w:p>
    <w:p w14:paraId="20104ADA" w14:textId="13035C3B" w:rsidR="009A7D29" w:rsidRPr="001A5082" w:rsidRDefault="003C6F48" w:rsidP="1F22A24A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 w:themeColor="text1"/>
        </w:rPr>
      </w:pPr>
      <w:r w:rsidRPr="1F22A24A">
        <w:rPr>
          <w:rFonts w:ascii="MS Gothic" w:eastAsia="MS Gothic" w:hAnsi="MS Gothic" w:cs="MS Gothic"/>
          <w:b w:val="0"/>
          <w:color w:val="000000" w:themeColor="text1"/>
        </w:rPr>
        <w:t xml:space="preserve"> </w:t>
      </w:r>
    </w:p>
    <w:p w14:paraId="7B021301" w14:textId="2E40AB9B" w:rsidR="009A7D29" w:rsidRPr="001A5082" w:rsidRDefault="003C6F48" w:rsidP="1F22A24A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/>
        </w:rPr>
      </w:pPr>
      <w:r w:rsidRPr="1F22A24A">
        <w:rPr>
          <w:rFonts w:ascii="MS Gothic" w:eastAsia="MS Gothic" w:hAnsi="MS Gothic" w:cs="MS Gothic"/>
          <w:b w:val="0"/>
          <w:color w:val="000000" w:themeColor="text1"/>
        </w:rPr>
        <w:t>X</w:t>
      </w:r>
      <w:r w:rsidR="009A7D29" w:rsidRPr="1F22A24A">
        <w:rPr>
          <w:rFonts w:ascii="Corbel" w:hAnsi="Corbel"/>
          <w:b w:val="0"/>
          <w:smallCaps w:val="0"/>
          <w:color w:val="000000" w:themeColor="text1"/>
        </w:rPr>
        <w:t xml:space="preserve"> zajęcia w formie tradycyjnej </w:t>
      </w:r>
    </w:p>
    <w:p w14:paraId="000EFAC0" w14:textId="635FB73C" w:rsidR="009A7D29" w:rsidRPr="001A5082" w:rsidRDefault="008B55B4" w:rsidP="1F22A24A">
      <w:pPr>
        <w:pStyle w:val="Punktygwne"/>
        <w:spacing w:before="0" w:after="0"/>
        <w:ind w:left="709"/>
        <w:rPr>
          <w:rFonts w:ascii="Corbel" w:hAnsi="Corbel"/>
          <w:smallCaps w:val="0"/>
          <w:color w:val="000000"/>
        </w:rPr>
      </w:pPr>
      <w:r w:rsidRPr="1F22A24A">
        <w:rPr>
          <w:rFonts w:ascii="MS Gothic" w:eastAsia="MS Gothic" w:hAnsi="MS Gothic" w:cs="MS Gothic"/>
          <w:b w:val="0"/>
          <w:color w:val="000000" w:themeColor="text1"/>
        </w:rPr>
        <w:t>X</w:t>
      </w:r>
      <w:r w:rsidR="009A7D29" w:rsidRPr="1F22A24A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</w:p>
    <w:p w14:paraId="4B94D5A5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35295C78" w14:textId="207121BB" w:rsidR="009A7D29" w:rsidRDefault="009A7D29" w:rsidP="67B6A9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67B6A974">
        <w:rPr>
          <w:rFonts w:ascii="Corbel" w:hAnsi="Corbel"/>
          <w:smallCaps w:val="0"/>
          <w:color w:val="000000" w:themeColor="text1"/>
        </w:rPr>
        <w:t xml:space="preserve">1.3 </w:t>
      </w:r>
      <w:r>
        <w:tab/>
      </w:r>
      <w:r w:rsidRPr="67B6A974">
        <w:rPr>
          <w:rFonts w:ascii="Corbel" w:hAnsi="Corbel"/>
          <w:smallCaps w:val="0"/>
          <w:color w:val="000000" w:themeColor="text1"/>
        </w:rPr>
        <w:t>Forma zaliczenia przedmiotu (z toku)</w:t>
      </w:r>
      <w:r w:rsidRPr="67B6A974">
        <w:rPr>
          <w:rFonts w:ascii="Corbel" w:hAnsi="Corbel"/>
          <w:smallCaps w:val="0"/>
        </w:rPr>
        <w:t xml:space="preserve"> </w:t>
      </w:r>
      <w:r w:rsidRPr="67B6A974">
        <w:rPr>
          <w:rFonts w:ascii="Corbel" w:hAnsi="Corbel"/>
          <w:b w:val="0"/>
          <w:smallCaps w:val="0"/>
        </w:rPr>
        <w:t xml:space="preserve">(egzamin, </w:t>
      </w:r>
      <w:r w:rsidRPr="67B6A974">
        <w:rPr>
          <w:rFonts w:ascii="Corbel" w:hAnsi="Corbel"/>
          <w:bCs/>
          <w:smallCaps w:val="0"/>
        </w:rPr>
        <w:t>zaliczenie z oceną</w:t>
      </w:r>
      <w:r w:rsidRPr="67B6A974">
        <w:rPr>
          <w:rFonts w:ascii="Corbel" w:hAnsi="Corbel"/>
          <w:b w:val="0"/>
          <w:smallCaps w:val="0"/>
        </w:rPr>
        <w:t>, zaliczenie bez oceny)</w:t>
      </w:r>
    </w:p>
    <w:p w14:paraId="5C6BDFDF" w14:textId="53CA0A2D" w:rsidR="00923988" w:rsidRPr="0008430F" w:rsidRDefault="00923988" w:rsidP="67B6A974">
      <w:pPr>
        <w:suppressAutoHyphens w:val="0"/>
        <w:spacing w:after="0" w:line="240" w:lineRule="auto"/>
        <w:ind w:firstLine="708"/>
        <w:rPr>
          <w:rFonts w:ascii="Corbel" w:hAnsi="Corbel"/>
          <w:smallCaps/>
          <w:kern w:val="0"/>
          <w:sz w:val="24"/>
          <w:szCs w:val="24"/>
          <w:lang w:eastAsia="en-US"/>
        </w:rPr>
      </w:pPr>
      <w:r w:rsidRPr="67B6A974">
        <w:rPr>
          <w:rFonts w:ascii="Corbel" w:eastAsia="Cambria" w:hAnsi="Corbel"/>
          <w:kern w:val="0"/>
          <w:sz w:val="24"/>
          <w:szCs w:val="24"/>
          <w:lang w:eastAsia="en-US"/>
        </w:rPr>
        <w:t xml:space="preserve">Ćwiczenia audytoryjne – </w:t>
      </w:r>
      <w:r w:rsidR="1672EE77" w:rsidRPr="67B6A974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zaliczenie z oceną</w:t>
      </w:r>
      <w:r w:rsidR="1672EE77" w:rsidRPr="67B6A974">
        <w:rPr>
          <w:rFonts w:ascii="Corbel" w:eastAsia="Cambria" w:hAnsi="Corbel"/>
          <w:kern w:val="0"/>
          <w:sz w:val="24"/>
          <w:szCs w:val="24"/>
          <w:lang w:eastAsia="en-US"/>
        </w:rPr>
        <w:t xml:space="preserve"> /</w:t>
      </w:r>
      <w:r w:rsidRPr="67B6A974">
        <w:rPr>
          <w:rFonts w:ascii="Corbel" w:eastAsia="Cambria" w:hAnsi="Corbel"/>
          <w:sz w:val="24"/>
          <w:szCs w:val="24"/>
          <w:lang w:eastAsia="en-US"/>
        </w:rPr>
        <w:t>kolokwium pisemne w formie testu</w:t>
      </w:r>
    </w:p>
    <w:p w14:paraId="3DEEC669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3D3A41" w14:textId="257A0A36" w:rsidR="1F22A24A" w:rsidRDefault="1F22A24A" w:rsidP="1F22A24A">
      <w:pPr>
        <w:pStyle w:val="Punktygwne"/>
        <w:spacing w:before="0" w:after="0"/>
        <w:rPr>
          <w:rFonts w:ascii="Corbel" w:hAnsi="Corbel"/>
          <w:color w:val="000000" w:themeColor="text1"/>
        </w:rPr>
      </w:pPr>
    </w:p>
    <w:p w14:paraId="261BAAD1" w14:textId="77777777" w:rsidR="009A7D29" w:rsidRPr="001A5082" w:rsidRDefault="009A7D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1F22A24A">
        <w:rPr>
          <w:rFonts w:ascii="Corbel" w:hAnsi="Corbel"/>
          <w:color w:val="000000" w:themeColor="text1"/>
        </w:rPr>
        <w:t xml:space="preserve">2.Wymagania wstępne </w:t>
      </w:r>
    </w:p>
    <w:p w14:paraId="74688A10" w14:textId="1B6B3987" w:rsidR="1F22A24A" w:rsidRDefault="1F22A24A" w:rsidP="1F22A24A">
      <w:pPr>
        <w:pStyle w:val="Punktygwne"/>
        <w:spacing w:before="0" w:after="0"/>
        <w:rPr>
          <w:bCs/>
          <w:color w:val="000000" w:themeColor="text1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14:paraId="56CB8F02" w14:textId="77777777" w:rsidTr="1F22A24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B0818" w14:textId="73CC34BE" w:rsidR="009A7D29" w:rsidRDefault="00923988" w:rsidP="1F22A2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F22A24A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 z zakresu</w:t>
            </w:r>
            <w:r w:rsidR="00EE7247" w:rsidRPr="1F22A24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prawa międzynarodowego publicznego</w:t>
            </w:r>
          </w:p>
        </w:tc>
      </w:tr>
    </w:tbl>
    <w:p w14:paraId="049F31CB" w14:textId="77777777" w:rsidR="009A7D29" w:rsidRDefault="009A7D29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4F2B1F29" w:rsidR="009A7D29" w:rsidRPr="006C17C5" w:rsidRDefault="009A7D29" w:rsidP="67B6A974">
      <w:pPr>
        <w:pStyle w:val="Punktygwne"/>
        <w:spacing w:before="0" w:after="0"/>
        <w:rPr>
          <w:rFonts w:ascii="Corbel" w:hAnsi="Corbel"/>
          <w:color w:val="000000"/>
        </w:rPr>
      </w:pPr>
      <w:r w:rsidRPr="67B6A974">
        <w:rPr>
          <w:rFonts w:ascii="Corbel" w:hAnsi="Corbel"/>
          <w:color w:val="000000" w:themeColor="text1"/>
        </w:rPr>
        <w:t>3. cele, efekty uczenia się, treści Programowe i stosowane metody Dydaktyczne</w:t>
      </w:r>
    </w:p>
    <w:p w14:paraId="53128261" w14:textId="77777777" w:rsidR="009A7D29" w:rsidRPr="006C17C5" w:rsidRDefault="009A7D29">
      <w:pPr>
        <w:pStyle w:val="Punktygwne"/>
        <w:spacing w:before="0" w:after="0"/>
        <w:rPr>
          <w:rFonts w:ascii="Corbel" w:hAnsi="Corbel"/>
          <w:color w:val="000000"/>
          <w:szCs w:val="24"/>
        </w:rPr>
      </w:pPr>
    </w:p>
    <w:p w14:paraId="04643D83" w14:textId="77777777" w:rsidR="009A7D29" w:rsidRPr="006C17C5" w:rsidRDefault="009A7D29">
      <w:pPr>
        <w:pStyle w:val="Podpunkty"/>
        <w:rPr>
          <w:rFonts w:ascii="Corbel" w:hAnsi="Corbel"/>
          <w:b w:val="0"/>
          <w:i/>
          <w:color w:val="000000"/>
          <w:sz w:val="24"/>
          <w:szCs w:val="24"/>
        </w:rPr>
      </w:pPr>
      <w:r w:rsidRPr="006C17C5">
        <w:rPr>
          <w:rFonts w:ascii="Corbel" w:hAnsi="Corbel"/>
          <w:color w:val="000000"/>
          <w:sz w:val="24"/>
          <w:szCs w:val="24"/>
        </w:rPr>
        <w:t>3.1 Cele przedmiotu</w:t>
      </w:r>
    </w:p>
    <w:p w14:paraId="62486C05" w14:textId="77777777" w:rsidR="009A7D29" w:rsidRDefault="009A7D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9"/>
        <w:gridCol w:w="8820"/>
      </w:tblGrid>
      <w:tr w:rsidR="009A7D29" w:rsidRPr="00CD5F8D" w14:paraId="4365730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2B5A4" w14:textId="77777777" w:rsidR="009A7D29" w:rsidRPr="00CD5F8D" w:rsidRDefault="009A7D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D5F8D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79D55" w14:textId="77777777" w:rsidR="00923988" w:rsidRPr="00CD5F8D" w:rsidRDefault="00F37360" w:rsidP="00EE724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D5F8D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podstawowymi zasadami prawnymi regulującymi kształtowanie stosunków o charakterze dyplomatycznym lub konsularnym między państwami i innymi podmiotami prawa międzynarodowego, ze szczególnym uwzględnieniem Unii Europejskiej. </w:t>
            </w:r>
          </w:p>
        </w:tc>
      </w:tr>
      <w:tr w:rsidR="009A7D29" w:rsidRPr="00CD5F8D" w14:paraId="25D0CBE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F7E8" w14:textId="77777777" w:rsidR="009A7D29" w:rsidRPr="00CD5F8D" w:rsidRDefault="00ED75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/>
                <w:sz w:val="24"/>
                <w:szCs w:val="24"/>
              </w:rPr>
            </w:pPr>
            <w:r w:rsidRPr="00CD5F8D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DA002" w14:textId="77777777" w:rsidR="009A7D29" w:rsidRPr="00CD5F8D" w:rsidRDefault="00EE7247" w:rsidP="00F373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D5F8D">
              <w:rPr>
                <w:rFonts w:ascii="Corbel" w:hAnsi="Corbel"/>
                <w:b w:val="0"/>
                <w:color w:val="000000"/>
                <w:sz w:val="24"/>
                <w:szCs w:val="24"/>
              </w:rPr>
              <w:t>Zrozumienie mechanizmów działania misji dyplomatycznych i urzędów konsularnych oraz poznanie ich roli w ochronie interesów obywateli państw członkowskich Unii Europejskiej.</w:t>
            </w:r>
          </w:p>
        </w:tc>
      </w:tr>
    </w:tbl>
    <w:p w14:paraId="4101652C" w14:textId="77777777" w:rsidR="00ED75C8" w:rsidRPr="00CD5F8D" w:rsidRDefault="00ED75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9A7D29" w:rsidRPr="00CD5F8D" w:rsidRDefault="009A7D29">
      <w:pPr>
        <w:spacing w:after="0" w:line="100" w:lineRule="atLeast"/>
        <w:ind w:left="426"/>
        <w:rPr>
          <w:rFonts w:ascii="Corbel" w:hAnsi="Corbel"/>
          <w:color w:val="000000"/>
          <w:sz w:val="24"/>
          <w:szCs w:val="24"/>
        </w:rPr>
      </w:pPr>
      <w:r w:rsidRPr="00CD5F8D">
        <w:rPr>
          <w:rFonts w:ascii="Corbel" w:hAnsi="Corbel"/>
          <w:b/>
          <w:color w:val="000000"/>
          <w:sz w:val="24"/>
          <w:szCs w:val="24"/>
        </w:rPr>
        <w:t>3.2 Efekty uczenia się dla przedmiotu</w:t>
      </w:r>
      <w:r w:rsidRPr="00CD5F8D">
        <w:rPr>
          <w:rFonts w:ascii="Corbel" w:hAnsi="Corbel"/>
          <w:color w:val="000000"/>
          <w:sz w:val="24"/>
          <w:szCs w:val="24"/>
        </w:rPr>
        <w:t xml:space="preserve"> </w:t>
      </w:r>
    </w:p>
    <w:p w14:paraId="4B99056E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tbl>
      <w:tblPr>
        <w:tblW w:w="9670" w:type="dxa"/>
        <w:tblLayout w:type="fixed"/>
        <w:tblLook w:val="0000" w:firstRow="0" w:lastRow="0" w:firstColumn="0" w:lastColumn="0" w:noHBand="0" w:noVBand="0"/>
      </w:tblPr>
      <w:tblGrid>
        <w:gridCol w:w="1425"/>
        <w:gridCol w:w="6499"/>
        <w:gridCol w:w="1746"/>
      </w:tblGrid>
      <w:tr w:rsidR="009A7D29" w14:paraId="61F38664" w14:textId="77777777" w:rsidTr="09898B20"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145ED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C5602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2D2E" w14:textId="77777777" w:rsidR="009A7D29" w:rsidRDefault="009A7D29">
            <w:pPr>
              <w:pStyle w:val="Punktygwne"/>
              <w:spacing w:before="0" w:after="0"/>
              <w:jc w:val="center"/>
            </w:pPr>
            <w:r w:rsidRPr="09898B20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09898B20">
              <w:rPr>
                <w:rStyle w:val="footnotereference0"/>
                <w:rFonts w:ascii="Corbel" w:eastAsia="Corbel" w:hAnsi="Corbel" w:cs="Corbel"/>
                <w:b w:val="0"/>
              </w:rPr>
              <w:footnoteReference w:id="1"/>
            </w:r>
          </w:p>
        </w:tc>
      </w:tr>
      <w:tr w:rsidR="009A7D29" w14:paraId="5076476F" w14:textId="77777777" w:rsidTr="09898B20"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A596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27F82F" w14:textId="3592F115" w:rsidR="009A7D29" w:rsidRPr="00CD5F8D" w:rsidRDefault="265BCA4E" w:rsidP="67B6A9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7B6A97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 wiedzę </w:t>
            </w:r>
            <w:r w:rsidR="00EE7247" w:rsidRPr="67B6A974">
              <w:rPr>
                <w:rFonts w:ascii="Corbel" w:hAnsi="Corbel"/>
                <w:b w:val="0"/>
                <w:smallCaps w:val="0"/>
                <w:color w:val="000000" w:themeColor="text1"/>
              </w:rPr>
              <w:t>o podstawowych pojęciach związanych z</w:t>
            </w:r>
            <w:r w:rsidR="54D5B31C" w:rsidRPr="67B6A97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EE7247" w:rsidRPr="67B6A974">
              <w:rPr>
                <w:rFonts w:ascii="Corbel" w:hAnsi="Corbel"/>
                <w:b w:val="0"/>
                <w:smallCaps w:val="0"/>
                <w:color w:val="000000" w:themeColor="text1"/>
              </w:rPr>
              <w:t>prawem dyplomatycznym i konsularnym. Potrafi omówić zasady kształtowania i utrzymywania stosunków dyplomatycznych oraz konsularnych.</w:t>
            </w:r>
          </w:p>
        </w:tc>
        <w:tc>
          <w:tcPr>
            <w:tcW w:w="1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8033C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FE4C4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3FB25131" w14:textId="77777777" w:rsidR="00822297" w:rsidRDefault="009667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E4C4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C5B2A44" w14:textId="77777777" w:rsidR="00FE4C42" w:rsidRDefault="00FE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A7D29" w14:paraId="6D3A44CB" w14:textId="77777777" w:rsidTr="09898B20"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76B19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3751E" w14:textId="77777777" w:rsidR="009A7D29" w:rsidRPr="00CD5F8D" w:rsidRDefault="005931DE" w:rsidP="009667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5F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 wiedzę na temat </w:t>
            </w:r>
            <w:r w:rsidR="00EE7247" w:rsidRPr="00CD5F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funkcji dyplomatycznych oraz funkcji</w:t>
            </w:r>
            <w:r w:rsidR="0096674A" w:rsidRPr="00CD5F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konsularnych</w:t>
            </w:r>
            <w:r w:rsidR="00EE7247" w:rsidRPr="00CD5F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F0ACE" w14:textId="77777777" w:rsidR="009A7D29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E4C42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600668D8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E4C4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5931DE" w14:paraId="35E5D6E9" w14:textId="77777777" w:rsidTr="09898B20"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60800" w14:textId="77777777" w:rsidR="005931DE" w:rsidRDefault="00982B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247658" w14:textId="77777777" w:rsidR="005931DE" w:rsidRPr="00CD5F8D" w:rsidRDefault="005931DE" w:rsidP="00FE4C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5F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</w:t>
            </w:r>
            <w:r w:rsidR="0096674A" w:rsidRPr="00CD5F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ocenić proste stany faktyczne </w:t>
            </w:r>
            <w:r w:rsidR="00FE4C42" w:rsidRPr="00CD5F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dot.</w:t>
            </w:r>
            <w:r w:rsidR="0096674A" w:rsidRPr="00CD5F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obowiązującego międzynarodowego prawa dyplomatycznego oraz konsularnego, w kontekście obywatelstwa Unii Europejskiej. </w:t>
            </w:r>
          </w:p>
        </w:tc>
        <w:tc>
          <w:tcPr>
            <w:tcW w:w="1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CD0C1" w14:textId="77777777" w:rsidR="005931DE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 w:rsidR="00FE4C4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A4E307F" w14:textId="77777777" w:rsidR="00822297" w:rsidRDefault="009667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E4C4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931DE" w14:paraId="3ADC660D" w14:textId="77777777" w:rsidTr="09898B20"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3198C" w14:textId="77777777" w:rsidR="005931DE" w:rsidRDefault="00982B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4ABC37" w14:textId="2DFEA0FD" w:rsidR="005931DE" w:rsidRPr="00CD5F8D" w:rsidRDefault="265BCA4E" w:rsidP="09898B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9898B2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 świadomość istnienia </w:t>
            </w:r>
            <w:r w:rsidR="43C7AB71" w:rsidRPr="09898B20">
              <w:rPr>
                <w:rFonts w:ascii="Corbel" w:hAnsi="Corbel"/>
                <w:b w:val="0"/>
                <w:smallCaps w:val="0"/>
                <w:color w:val="000000" w:themeColor="text1"/>
              </w:rPr>
              <w:t>praw, wynikających z</w:t>
            </w:r>
            <w:r w:rsidR="53248FF0" w:rsidRPr="09898B2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3C7AB71" w:rsidRPr="09898B20">
              <w:rPr>
                <w:rFonts w:ascii="Corbel" w:hAnsi="Corbel"/>
                <w:b w:val="0"/>
                <w:smallCaps w:val="0"/>
                <w:color w:val="000000" w:themeColor="text1"/>
              </w:rPr>
              <w:t>obywatelstwa Unii Europejskiej.</w:t>
            </w:r>
          </w:p>
        </w:tc>
        <w:tc>
          <w:tcPr>
            <w:tcW w:w="17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3E2D9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_K0</w:t>
            </w:r>
            <w:r w:rsidR="00FE4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</w:p>
          <w:p w14:paraId="5B2AA153" w14:textId="77777777" w:rsidR="00FE4C42" w:rsidRPr="001A5082" w:rsidRDefault="00FE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K_K03</w:t>
            </w:r>
          </w:p>
        </w:tc>
      </w:tr>
    </w:tbl>
    <w:p w14:paraId="1299C43A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525A158D" w:rsidR="009A7D29" w:rsidRDefault="009A7D29">
      <w:pPr>
        <w:pStyle w:val="Akapitzlist1"/>
        <w:spacing w:line="100" w:lineRule="atLeast"/>
        <w:ind w:left="426"/>
        <w:jc w:val="both"/>
        <w:rPr>
          <w:rFonts w:ascii="Corbel" w:hAnsi="Corbel"/>
          <w:sz w:val="24"/>
          <w:szCs w:val="24"/>
        </w:rPr>
      </w:pPr>
      <w:r w:rsidRPr="1F22A24A">
        <w:rPr>
          <w:rFonts w:ascii="Corbel" w:hAnsi="Corbel"/>
          <w:b/>
          <w:bCs/>
          <w:sz w:val="24"/>
          <w:szCs w:val="24"/>
        </w:rPr>
        <w:t xml:space="preserve">3.3 Treści programowe </w:t>
      </w:r>
      <w:r w:rsidRPr="1F22A24A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9A7D29" w:rsidRPr="001A5082" w:rsidRDefault="009A7D29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  <w:color w:val="000000"/>
          <w:sz w:val="24"/>
          <w:szCs w:val="24"/>
        </w:rPr>
      </w:pPr>
      <w:r w:rsidRPr="001A5082">
        <w:rPr>
          <w:rFonts w:ascii="Corbel" w:hAnsi="Corbel"/>
          <w:color w:val="000000"/>
          <w:sz w:val="24"/>
          <w:szCs w:val="24"/>
        </w:rPr>
        <w:t xml:space="preserve">Problematyka wykładu </w:t>
      </w:r>
    </w:p>
    <w:p w14:paraId="4DDBEF00" w14:textId="77777777" w:rsidR="009A7D29" w:rsidRDefault="009A7D29">
      <w:pPr>
        <w:pStyle w:val="Akapitzlist1"/>
        <w:spacing w:after="120" w:line="100" w:lineRule="atLeast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87EA2A8" w14:textId="77777777" w:rsidTr="1F22A24A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13026" w14:textId="77777777" w:rsidR="009A7D29" w:rsidRDefault="009A7D29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7D29" w14:paraId="3461D779" w14:textId="77777777" w:rsidTr="1F22A24A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2D8B6" w14:textId="572C6512" w:rsidR="009A7D29" w:rsidRDefault="00583326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F22A24A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2EBF3C5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p w14:paraId="25513626" w14:textId="77777777" w:rsidR="009A7D29" w:rsidRPr="002E220C" w:rsidRDefault="009A7D29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  <w:color w:val="000000"/>
          <w:sz w:val="24"/>
          <w:szCs w:val="24"/>
        </w:rPr>
      </w:pPr>
      <w:r w:rsidRPr="67B6A974">
        <w:rPr>
          <w:rFonts w:ascii="Corbel" w:hAnsi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5225495" w14:textId="77777777" w:rsidTr="67B6A974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9D229" w14:textId="77777777" w:rsidR="009A7D29" w:rsidRDefault="009A7D29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7D29" w14:paraId="72FE5856" w14:textId="77777777" w:rsidTr="67B6A974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78AADF" w14:textId="77777777" w:rsidR="009A7D29" w:rsidRPr="00CD5F8D" w:rsidRDefault="639A0227" w:rsidP="67B6A974">
            <w:pPr>
              <w:pStyle w:val="Akapitzlist1"/>
              <w:spacing w:after="0" w:line="100" w:lineRule="atLeast"/>
              <w:ind w:left="36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1. </w:t>
            </w:r>
            <w:r w:rsidR="3F789EA6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Pojęcie dyplomaty, dyplomacji. Rangi, klasy, tytuły szefów misji dyplomatycznej oraz członków misji dyplomatycznej. Korpus dyplomatyczny.</w:t>
            </w:r>
          </w:p>
        </w:tc>
      </w:tr>
      <w:tr w:rsidR="009A7D29" w14:paraId="11C228FB" w14:textId="77777777" w:rsidTr="67B6A974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C524D7" w14:textId="77777777" w:rsidR="009A7D29" w:rsidRPr="00CD5F8D" w:rsidRDefault="59325855" w:rsidP="67B6A974">
            <w:pPr>
              <w:pStyle w:val="Akapitzlist1"/>
              <w:spacing w:after="0" w:line="100" w:lineRule="atLeast"/>
              <w:ind w:left="90" w:firstLine="27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2. Zasady kształtowania i utrzymywania stosunków dyplomatycznych.</w:t>
            </w:r>
          </w:p>
        </w:tc>
      </w:tr>
      <w:tr w:rsidR="009A7D29" w14:paraId="61C3A12E" w14:textId="77777777" w:rsidTr="67B6A974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8890C" w14:textId="77777777" w:rsidR="009A7D29" w:rsidRPr="00CD5F8D" w:rsidRDefault="639A0227" w:rsidP="67B6A974">
            <w:pPr>
              <w:pStyle w:val="Akapitzlist1"/>
              <w:spacing w:after="0" w:line="100" w:lineRule="atLeast"/>
              <w:ind w:left="90" w:firstLine="27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3. </w:t>
            </w:r>
            <w:r w:rsidR="59325855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Pojęcie konsulatu, konsula oraz konsula honorowego.</w:t>
            </w:r>
          </w:p>
        </w:tc>
      </w:tr>
      <w:tr w:rsidR="009D653A" w14:paraId="5D425A73" w14:textId="77777777" w:rsidTr="67B6A974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360518" w14:textId="77777777" w:rsidR="009D653A" w:rsidRPr="00CD5F8D" w:rsidRDefault="639A0227" w:rsidP="67B6A974">
            <w:pPr>
              <w:pStyle w:val="Akapitzlist1"/>
              <w:spacing w:after="0" w:line="100" w:lineRule="atLeast"/>
              <w:ind w:left="90" w:firstLine="27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4. </w:t>
            </w:r>
            <w:r w:rsidR="59325855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Zasady kształtowania i utrzymywania stosunków konsularnych.</w:t>
            </w:r>
          </w:p>
        </w:tc>
      </w:tr>
      <w:tr w:rsidR="009D653A" w14:paraId="30B41A9C" w14:textId="77777777" w:rsidTr="67B6A974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1E92E" w14:textId="77777777" w:rsidR="009D653A" w:rsidRPr="00CD5F8D" w:rsidRDefault="639A0227" w:rsidP="67B6A974">
            <w:pPr>
              <w:pStyle w:val="Akapitzlist1"/>
              <w:spacing w:after="0" w:line="100" w:lineRule="atLeast"/>
              <w:ind w:left="90" w:firstLine="27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5. </w:t>
            </w:r>
            <w:r w:rsidR="59325855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Charakterystyka funkcji dyplomatycznych konsularnych.</w:t>
            </w:r>
          </w:p>
        </w:tc>
      </w:tr>
      <w:tr w:rsidR="009D653A" w14:paraId="6BEC292B" w14:textId="77777777" w:rsidTr="67B6A974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350A4" w14:textId="77777777" w:rsidR="009D653A" w:rsidRPr="00CD5F8D" w:rsidRDefault="639A0227" w:rsidP="67B6A974">
            <w:pPr>
              <w:pStyle w:val="Akapitzlist1"/>
              <w:spacing w:after="0" w:line="100" w:lineRule="atLeast"/>
              <w:ind w:left="90" w:firstLine="27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6. </w:t>
            </w:r>
            <w:r w:rsidR="59325855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Przywileje i immunitety dyplomatyczne i konsularne.</w:t>
            </w:r>
          </w:p>
        </w:tc>
      </w:tr>
      <w:tr w:rsidR="009D653A" w14:paraId="75495066" w14:textId="77777777" w:rsidTr="67B6A974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69265" w14:textId="77777777" w:rsidR="009D653A" w:rsidRPr="00CD5F8D" w:rsidRDefault="639A0227" w:rsidP="67B6A974">
            <w:pPr>
              <w:pStyle w:val="Akapitzlist1"/>
              <w:spacing w:after="0" w:line="100" w:lineRule="atLeast"/>
              <w:ind w:left="90" w:firstLine="27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7. </w:t>
            </w:r>
            <w:r w:rsidR="59325855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Obywatelstwo Unii Europejskiej.</w:t>
            </w:r>
          </w:p>
        </w:tc>
      </w:tr>
      <w:tr w:rsidR="009D653A" w14:paraId="203DBBBF" w14:textId="77777777" w:rsidTr="67B6A974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B70852" w14:textId="77777777" w:rsidR="009D653A" w:rsidRPr="00CD5F8D" w:rsidRDefault="639A0227" w:rsidP="67B6A974">
            <w:pPr>
              <w:pStyle w:val="Akapitzlist1"/>
              <w:spacing w:after="0" w:line="100" w:lineRule="atLeast"/>
              <w:ind w:left="90" w:firstLine="27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8. </w:t>
            </w:r>
            <w:r w:rsidR="16E9422B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D</w:t>
            </w:r>
            <w:r w:rsidR="59325855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okumenty podróży.</w:t>
            </w:r>
          </w:p>
        </w:tc>
      </w:tr>
      <w:tr w:rsidR="009D653A" w14:paraId="1931BAC9" w14:textId="77777777" w:rsidTr="67B6A974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70FC8" w14:textId="77777777" w:rsidR="009D653A" w:rsidRPr="00CD5F8D" w:rsidRDefault="639A0227" w:rsidP="67B6A974">
            <w:pPr>
              <w:pStyle w:val="Akapitzlist1"/>
              <w:spacing w:after="0" w:line="100" w:lineRule="atLeast"/>
              <w:ind w:left="90" w:firstLine="27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9. </w:t>
            </w:r>
            <w:r w:rsidR="59325855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Europejska ochrona konsularna.</w:t>
            </w:r>
          </w:p>
        </w:tc>
      </w:tr>
      <w:tr w:rsidR="009D653A" w14:paraId="5E201BA7" w14:textId="77777777" w:rsidTr="67B6A974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B45AB" w14:textId="77777777" w:rsidR="009D653A" w:rsidRPr="00CD5F8D" w:rsidRDefault="639A0227" w:rsidP="67B6A974">
            <w:pPr>
              <w:pStyle w:val="Akapitzlist1"/>
              <w:spacing w:after="0" w:line="100" w:lineRule="atLeast"/>
              <w:ind w:left="630" w:hanging="27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10. </w:t>
            </w:r>
            <w:r w:rsidR="16E9422B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Wyzwania opieki dyplomatycznej i ochrony</w:t>
            </w:r>
            <w:r w:rsidR="59325855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konsularnej obywateli</w:t>
            </w:r>
            <w:r w:rsidR="59325855" w:rsidRPr="67B6A974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59325855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państw członkowskich UE.</w:t>
            </w:r>
          </w:p>
        </w:tc>
      </w:tr>
    </w:tbl>
    <w:p w14:paraId="2946DB82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9A7D29" w:rsidRPr="001A5082" w:rsidRDefault="009A7D29" w:rsidP="00D63DA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3.4 Metody dydaktyczne</w:t>
      </w:r>
      <w:r w:rsidRPr="001A5082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</w:p>
    <w:p w14:paraId="5997CC1D" w14:textId="77777777" w:rsidR="00D63DAC" w:rsidRDefault="00D63DAC" w:rsidP="00D63DAC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</w:p>
    <w:p w14:paraId="587AEA74" w14:textId="77777777" w:rsidR="009A7D29" w:rsidRDefault="00D63DAC" w:rsidP="00D63DA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praca w grupach, interpreta</w:t>
      </w:r>
      <w:r w:rsidRPr="00D63DAC">
        <w:rPr>
          <w:rFonts w:ascii="Corbel" w:hAnsi="Corbel"/>
          <w:b w:val="0"/>
          <w:smallCaps w:val="0"/>
          <w:szCs w:val="24"/>
        </w:rPr>
        <w:t xml:space="preserve">cja tekstów źródłowych, analiza </w:t>
      </w:r>
      <w:r>
        <w:rPr>
          <w:rFonts w:ascii="Corbel" w:hAnsi="Corbel"/>
          <w:b w:val="0"/>
          <w:smallCaps w:val="0"/>
          <w:szCs w:val="24"/>
        </w:rPr>
        <w:t>tekstów z dyskusją,</w:t>
      </w:r>
    </w:p>
    <w:p w14:paraId="110FFD37" w14:textId="77777777" w:rsidR="00D63DAC" w:rsidRDefault="00D63D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08CE6F91" w14:textId="77777777" w:rsidR="009A7D29" w:rsidRPr="002E220C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53742ADA" w14:textId="77777777" w:rsidR="009A7D29" w:rsidRPr="002E220C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2E220C">
        <w:rPr>
          <w:rFonts w:ascii="Corbel" w:hAnsi="Corbel"/>
          <w:smallCaps w:val="0"/>
          <w:color w:val="000000"/>
          <w:szCs w:val="24"/>
        </w:rPr>
        <w:t>4.1 Sposoby weryfikacji efektów uczenia się</w:t>
      </w:r>
    </w:p>
    <w:p w14:paraId="61CDCEAD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27"/>
      </w:tblGrid>
      <w:tr w:rsidR="009A7D29" w14:paraId="3CD72C34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A4F7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2157" w14:textId="77777777" w:rsidR="009A7D29" w:rsidRDefault="00822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CD06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9A7D29" w:rsidRDefault="009A7D29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7D29" w14:paraId="3C0D35B9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856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8DF5" w14:textId="77777777" w:rsidR="009A7D29" w:rsidRPr="00822297" w:rsidRDefault="00822297" w:rsidP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6B7E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A7D29" w14:paraId="33373E36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F0E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CC7C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475A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22297" w14:paraId="19419D21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7E2A" w14:textId="77777777" w:rsidR="00822297" w:rsidRDefault="00982B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5A14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  <w:r w:rsidR="00356347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9D6C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22297" w14:paraId="66A8CFDE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04E8A" w14:textId="77777777" w:rsidR="00822297" w:rsidRDefault="00982B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6190" w14:textId="77777777" w:rsidR="00822297" w:rsidRDefault="00C34780" w:rsidP="003563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78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CD0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BB9E253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E523C" w14:textId="77777777" w:rsidR="00982BBA" w:rsidRDefault="00982BBA">
      <w:pPr>
        <w:pStyle w:val="Punktygwne"/>
        <w:spacing w:before="0" w:after="0"/>
        <w:ind w:left="426"/>
        <w:rPr>
          <w:rFonts w:ascii="Corbel" w:hAnsi="Corbel"/>
          <w:smallCaps w:val="0"/>
          <w:color w:val="000000"/>
          <w:szCs w:val="24"/>
        </w:rPr>
      </w:pPr>
    </w:p>
    <w:p w14:paraId="52E56223" w14:textId="77777777" w:rsidR="00982BBA" w:rsidRDefault="00982BBA">
      <w:pPr>
        <w:pStyle w:val="Punktygwne"/>
        <w:spacing w:before="0" w:after="0"/>
        <w:ind w:left="426"/>
        <w:rPr>
          <w:rFonts w:ascii="Corbel" w:hAnsi="Corbel"/>
          <w:smallCaps w:val="0"/>
          <w:color w:val="000000"/>
          <w:szCs w:val="24"/>
        </w:rPr>
      </w:pPr>
    </w:p>
    <w:p w14:paraId="21AE8ED1" w14:textId="2CA616CF" w:rsidR="67B6A974" w:rsidRDefault="67B6A974" w:rsidP="67B6A974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</w:rPr>
      </w:pPr>
    </w:p>
    <w:p w14:paraId="4473027E" w14:textId="06FCC87A" w:rsidR="67B6A974" w:rsidRDefault="67B6A974" w:rsidP="67B6A974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</w:rPr>
      </w:pPr>
    </w:p>
    <w:p w14:paraId="7A2F98A7" w14:textId="0BBEEB6F" w:rsidR="67B6A974" w:rsidRDefault="67B6A974" w:rsidP="67B6A974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</w:rPr>
      </w:pPr>
    </w:p>
    <w:p w14:paraId="11ABB959" w14:textId="188C892A" w:rsidR="67B6A974" w:rsidRDefault="67B6A974" w:rsidP="67B6A974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</w:rPr>
      </w:pPr>
    </w:p>
    <w:p w14:paraId="162AC476" w14:textId="4AEDB7CE" w:rsidR="67B6A974" w:rsidRDefault="67B6A974" w:rsidP="67B6A974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</w:rPr>
      </w:pPr>
    </w:p>
    <w:p w14:paraId="20AF6365" w14:textId="38D8E928" w:rsidR="67B6A974" w:rsidRDefault="67B6A974" w:rsidP="67B6A974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</w:rPr>
      </w:pPr>
    </w:p>
    <w:p w14:paraId="0AFAEE5A" w14:textId="77777777" w:rsidR="009A7D29" w:rsidRPr="001A5082" w:rsidRDefault="009A7D29">
      <w:pPr>
        <w:pStyle w:val="Punktygwne"/>
        <w:spacing w:before="0" w:after="0"/>
        <w:ind w:left="426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 xml:space="preserve">4.2 Warunki zaliczenia przedmiotu (kryteria oceniania) </w:t>
      </w:r>
    </w:p>
    <w:p w14:paraId="07547A01" w14:textId="77777777" w:rsidR="009A7D29" w:rsidRDefault="009A7D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14:paraId="1D1C949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F10F" w14:textId="77777777" w:rsidR="00D63DAC" w:rsidRDefault="00D63DAC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audytoryjne - w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 xml:space="preserve"> celu uzyskania zaliczenia z przedmiotu należy uzyskać pozytywną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cenę z kolokwium zaliczeniowego, 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>przeprowadzonego w formie testu wielokrotnego wyboru, obejmującego 20 pytań. Warunkiem uzyskania oceny pozytywnej jest zdobycie co najmniej 11 punktów. Na rozwiązanie testu stude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nt ma 20 minut. </w:t>
            </w:r>
          </w:p>
          <w:p w14:paraId="7ECD879C" w14:textId="77777777" w:rsidR="009A7D29" w:rsidRDefault="00D63DAC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Przy zaliczeniu 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>przedmiotu brana jest pod uwagę także aktywność i obecność studenta na zajęciach. W razie nieotrzymania oceny pozytywnej z kolokwium zaliczeniowego,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przewiduje się możliwość popra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>wy kolokwium w formie ustnej.</w:t>
            </w:r>
          </w:p>
        </w:tc>
      </w:tr>
    </w:tbl>
    <w:p w14:paraId="5043CB0F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A7D29" w:rsidRDefault="009A7D29">
      <w:pPr>
        <w:pStyle w:val="Bezodstpw1"/>
        <w:ind w:left="284" w:hanging="284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7459315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1"/>
        <w:gridCol w:w="4677"/>
      </w:tblGrid>
      <w:tr w:rsidR="009A7D29" w14:paraId="63D9DE79" w14:textId="77777777" w:rsidTr="09898B20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52BB7" w14:textId="77777777" w:rsidR="009A7D29" w:rsidRDefault="009A7D29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CCBA" w14:textId="77777777" w:rsidR="009A7D29" w:rsidRDefault="009A7D29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7D29" w14:paraId="4E7C97BB" w14:textId="77777777" w:rsidTr="09898B20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692D5" w14:textId="77777777" w:rsidR="009A7D29" w:rsidRPr="00CD5F8D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9898B2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kontaktowe wynikające </w:t>
            </w:r>
            <w:r w:rsidRPr="00A34BA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 harmonogramu</w:t>
            </w:r>
            <w:r w:rsidRPr="09898B2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6135C" w14:textId="3D7FB511" w:rsidR="009A7D29" w:rsidRPr="00CD5F8D" w:rsidRDefault="001A6ED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D63DAC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0 </w:t>
            </w:r>
          </w:p>
        </w:tc>
      </w:tr>
      <w:tr w:rsidR="009A7D29" w14:paraId="24A7B241" w14:textId="77777777" w:rsidTr="09898B20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0A6CD" w14:textId="77777777" w:rsidR="009A7D29" w:rsidRPr="00CD5F8D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D5F8D">
              <w:rPr>
                <w:rFonts w:ascii="Corbel" w:hAnsi="Corbel"/>
                <w:color w:val="000000"/>
                <w:sz w:val="24"/>
                <w:szCs w:val="24"/>
              </w:rPr>
              <w:t>Inne z udziałem nauczyciela akademickiego</w:t>
            </w:r>
          </w:p>
          <w:p w14:paraId="49ABEFC1" w14:textId="77777777" w:rsidR="009A7D29" w:rsidRPr="00CD5F8D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D5F8D">
              <w:rPr>
                <w:rFonts w:ascii="Corbel" w:hAnsi="Corbel"/>
                <w:color w:val="000000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F4A46" w14:textId="268F9C2E" w:rsidR="009A7D29" w:rsidRPr="00CD5F8D" w:rsidRDefault="00EB5440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008B55B4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644E93B6" w14:textId="77777777" w:rsidTr="09898B20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0431A" w14:textId="77777777" w:rsidR="009A7D29" w:rsidRPr="00CD5F8D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D5F8D">
              <w:rPr>
                <w:rFonts w:ascii="Corbel" w:hAnsi="Corbel"/>
                <w:color w:val="000000"/>
                <w:sz w:val="24"/>
                <w:szCs w:val="24"/>
              </w:rPr>
              <w:t>Godziny niekontaktowe – praca własna studenta</w:t>
            </w:r>
          </w:p>
          <w:p w14:paraId="1937B812" w14:textId="77777777" w:rsidR="009A7D29" w:rsidRPr="00CD5F8D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D5F8D">
              <w:rPr>
                <w:rFonts w:ascii="Corbel" w:hAnsi="Corbel"/>
                <w:color w:val="000000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497474" w14:textId="395D6130" w:rsidR="009A7D29" w:rsidRPr="00CD5F8D" w:rsidRDefault="001A6EDE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EB5440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00D63DAC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4CE5DAFD" w14:textId="77777777" w:rsidTr="09898B20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B2727" w14:textId="77777777" w:rsidR="009A7D29" w:rsidRPr="00CD5F8D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D5F8D">
              <w:rPr>
                <w:rFonts w:ascii="Corbel" w:hAnsi="Corbel"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82C33F" w14:textId="67F0BAAB" w:rsidR="009A7D29" w:rsidRPr="00CD5F8D" w:rsidRDefault="00EB5440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="008B55B4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="00D63DAC" w:rsidRPr="67B6A97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0AD00C0E" w14:textId="77777777" w:rsidTr="09898B20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1C35E" w14:textId="77777777" w:rsidR="009A7D29" w:rsidRPr="00CD5F8D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D5F8D">
              <w:rPr>
                <w:rFonts w:ascii="Corbel" w:hAnsi="Corbel"/>
                <w:b/>
                <w:color w:val="000000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4751B" w14:textId="77777777" w:rsidR="009A7D29" w:rsidRPr="00CD5F8D" w:rsidRDefault="00D63DAC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CD5F8D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6BBE219B" w14:textId="77777777" w:rsidR="009A7D29" w:rsidRPr="002E220C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2E220C">
        <w:rPr>
          <w:rFonts w:ascii="Corbel" w:hAnsi="Corbel"/>
          <w:b w:val="0"/>
          <w:i/>
          <w:smallCaps w:val="0"/>
          <w:color w:val="000000"/>
          <w:szCs w:val="24"/>
        </w:rPr>
        <w:t>* Należy uwzględnić, że 1 pkt ECTS odpowiada 25-30 godzin całkowitego nakładu pracy studenta.</w:t>
      </w:r>
    </w:p>
    <w:p w14:paraId="6537F28F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6. PRAKTYKI ZAWODOWE W RAMACH PRZEDMIOTU</w:t>
      </w:r>
    </w:p>
    <w:p w14:paraId="6DFB9E20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smallCaps w:val="0"/>
          <w:color w:val="00000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43"/>
        <w:gridCol w:w="3969"/>
      </w:tblGrid>
      <w:tr w:rsidR="009A7D29" w:rsidRPr="001A5082" w14:paraId="146D6691" w14:textId="77777777" w:rsidTr="67B6A974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98D25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F9E56" w14:textId="0C4959BE" w:rsidR="009A7D29" w:rsidRPr="001A5082" w:rsidRDefault="2B5BB35A" w:rsidP="67B6A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7B6A97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9A7D29" w:rsidRPr="001A5082" w14:paraId="05EFD703" w14:textId="77777777" w:rsidTr="67B6A974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ADC5D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871BC" w14:textId="37E339C6" w:rsidR="009A7D29" w:rsidRPr="001A5082" w:rsidRDefault="656EB9B3" w:rsidP="67B6A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7B6A974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</w:tbl>
    <w:p w14:paraId="144A5D23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7630DC2B" w14:textId="77777777" w:rsidR="009A7D29" w:rsidRPr="00CD5F8D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CD5F8D">
        <w:rPr>
          <w:rFonts w:ascii="Corbel" w:hAnsi="Corbel"/>
          <w:smallCaps w:val="0"/>
          <w:color w:val="000000"/>
          <w:szCs w:val="24"/>
        </w:rPr>
        <w:t xml:space="preserve">7. LITERATURA </w:t>
      </w:r>
    </w:p>
    <w:p w14:paraId="738610EB" w14:textId="77777777" w:rsidR="009A7D29" w:rsidRDefault="009A7D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513"/>
      </w:tblGrid>
      <w:tr w:rsidR="009A7D29" w:rsidRPr="0008430F" w14:paraId="56739670" w14:textId="77777777" w:rsidTr="67B6A974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17C7E" w14:textId="77777777" w:rsidR="00D63DAC" w:rsidRPr="0008430F" w:rsidRDefault="009A7D29" w:rsidP="00D63DAC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</w:rPr>
            </w:pPr>
            <w:r w:rsidRPr="0008430F">
              <w:rPr>
                <w:rFonts w:ascii="Corbel" w:hAnsi="Corbel"/>
                <w:b/>
                <w:smallCaps/>
              </w:rPr>
              <w:t>Literatura podstawowa:</w:t>
            </w:r>
            <w:r w:rsidR="00D63DAC" w:rsidRPr="0008430F">
              <w:rPr>
                <w:rFonts w:ascii="Corbel" w:hAnsi="Corbel"/>
                <w:b/>
                <w:smallCaps/>
              </w:rPr>
              <w:t xml:space="preserve"> </w:t>
            </w:r>
          </w:p>
          <w:p w14:paraId="2EAFA639" w14:textId="77777777" w:rsidR="00EC3622" w:rsidRPr="0008430F" w:rsidRDefault="00EC3622" w:rsidP="00EC3622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08430F">
              <w:rPr>
                <w:rFonts w:ascii="Corbel" w:hAnsi="Corbel" w:cs="Tahoma"/>
                <w:color w:val="000000"/>
                <w:szCs w:val="20"/>
              </w:rPr>
              <w:t xml:space="preserve">1. </w:t>
            </w:r>
            <w:r w:rsidR="007C23C0" w:rsidRPr="0008430F">
              <w:rPr>
                <w:rFonts w:ascii="Corbel" w:hAnsi="Corbel" w:cs="Tahoma"/>
                <w:color w:val="000000"/>
                <w:szCs w:val="20"/>
              </w:rPr>
              <w:t>J. Sutor, Prawo dyplomatyczne i konsularne, Warszawa</w:t>
            </w:r>
            <w:r w:rsidR="003B5386" w:rsidRPr="0008430F">
              <w:rPr>
                <w:rFonts w:ascii="Corbel" w:hAnsi="Corbel" w:cs="Tahoma"/>
                <w:color w:val="000000"/>
                <w:szCs w:val="20"/>
              </w:rPr>
              <w:t xml:space="preserve"> 2012;</w:t>
            </w:r>
          </w:p>
          <w:p w14:paraId="66B747CA" w14:textId="77777777" w:rsidR="00EC3622" w:rsidRPr="0008430F" w:rsidRDefault="00EC3622" w:rsidP="00EC3622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08430F">
              <w:rPr>
                <w:rFonts w:ascii="Corbel" w:hAnsi="Corbel" w:cs="Tahoma"/>
                <w:color w:val="000000"/>
                <w:szCs w:val="20"/>
              </w:rPr>
              <w:t>2. P. Czubik, Prawo dostępu do konsula, Kraków 2011;</w:t>
            </w:r>
          </w:p>
          <w:p w14:paraId="39D12E7D" w14:textId="77777777" w:rsidR="00EC3622" w:rsidRPr="0008430F" w:rsidRDefault="00EC3622" w:rsidP="00EC3622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08430F">
              <w:rPr>
                <w:rFonts w:ascii="Corbel" w:hAnsi="Corbel" w:cs="Tahoma"/>
                <w:color w:val="000000"/>
                <w:szCs w:val="20"/>
              </w:rPr>
              <w:t>3. P. Czubik, W, Burek, Wybrane zagadnienia współczesnego prawa konsularnego, Kraków 2014;</w:t>
            </w:r>
          </w:p>
          <w:p w14:paraId="73EA978B" w14:textId="77777777" w:rsidR="00EC3622" w:rsidRPr="0008430F" w:rsidRDefault="003B5386" w:rsidP="00EC3622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08430F">
              <w:rPr>
                <w:rFonts w:ascii="Corbel" w:hAnsi="Corbel" w:cs="Tahoma"/>
                <w:color w:val="000000"/>
                <w:szCs w:val="20"/>
              </w:rPr>
              <w:t xml:space="preserve">4. </w:t>
            </w:r>
            <w:r w:rsidR="00EC3622" w:rsidRPr="0008430F">
              <w:rPr>
                <w:rFonts w:ascii="Corbel" w:hAnsi="Corbel" w:cs="Tahoma"/>
                <w:color w:val="000000"/>
                <w:szCs w:val="20"/>
              </w:rPr>
              <w:t>S. Grochalski, Status prawny obywatela Unii Euro</w:t>
            </w:r>
            <w:r w:rsidRPr="0008430F">
              <w:rPr>
                <w:rFonts w:ascii="Corbel" w:hAnsi="Corbel" w:cs="Tahoma"/>
                <w:color w:val="000000"/>
                <w:szCs w:val="20"/>
              </w:rPr>
              <w:t>pejskiej, Dąbrowa Górnicza 2011;</w:t>
            </w:r>
          </w:p>
        </w:tc>
      </w:tr>
      <w:tr w:rsidR="009A7D29" w:rsidRPr="0008430F" w14:paraId="34530765" w14:textId="77777777" w:rsidTr="67B6A974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6B1D9" w14:textId="77777777" w:rsidR="009A7D29" w:rsidRPr="0008430F" w:rsidRDefault="009A7D29" w:rsidP="67B6A97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7B6A974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029CFDC1" w14:textId="64BDB241" w:rsidR="67B6A974" w:rsidRDefault="67B6A974" w:rsidP="67B6A974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51372A09" w14:textId="77777777" w:rsidR="003B5386" w:rsidRPr="0008430F" w:rsidRDefault="003B5386" w:rsidP="00982BBA">
            <w:pPr>
              <w:pStyle w:val="NormalnyWeb"/>
              <w:spacing w:before="0" w:beforeAutospacing="0" w:after="0" w:afterAutospacing="0" w:line="276" w:lineRule="auto"/>
              <w:rPr>
                <w:rFonts w:ascii="Corbel" w:hAnsi="Corbel" w:cs="Tahoma"/>
                <w:szCs w:val="20"/>
              </w:rPr>
            </w:pPr>
            <w:r w:rsidRPr="0008430F">
              <w:rPr>
                <w:rFonts w:ascii="Corbel" w:hAnsi="Corbel" w:cs="Tahoma"/>
                <w:szCs w:val="20"/>
              </w:rPr>
              <w:t xml:space="preserve">1. </w:t>
            </w:r>
            <w:r w:rsidR="00EC3622" w:rsidRPr="0008430F">
              <w:rPr>
                <w:rFonts w:ascii="Corbel" w:hAnsi="Corbel" w:cs="Tahoma"/>
                <w:szCs w:val="20"/>
              </w:rPr>
              <w:t>S. E. Nahlik, Narodziny nowożytnej dyplomacji, Wrocław 1971;</w:t>
            </w:r>
          </w:p>
          <w:p w14:paraId="5000906D" w14:textId="77777777" w:rsidR="001737A8" w:rsidRPr="0008430F" w:rsidRDefault="003B5386" w:rsidP="00982BBA">
            <w:pPr>
              <w:pStyle w:val="NormalnyWeb"/>
              <w:spacing w:before="0" w:beforeAutospacing="0" w:after="0" w:afterAutospacing="0" w:line="276" w:lineRule="auto"/>
              <w:rPr>
                <w:rFonts w:ascii="Corbel" w:hAnsi="Corbel" w:cs="Tahoma"/>
                <w:szCs w:val="20"/>
              </w:rPr>
            </w:pPr>
            <w:r w:rsidRPr="0008430F">
              <w:rPr>
                <w:rFonts w:ascii="Corbel" w:hAnsi="Corbel" w:cs="Tahoma"/>
                <w:szCs w:val="20"/>
              </w:rPr>
              <w:t xml:space="preserve">2. </w:t>
            </w:r>
            <w:r w:rsidR="00EC3622" w:rsidRPr="0008430F">
              <w:rPr>
                <w:rFonts w:ascii="Corbel" w:hAnsi="Corbel" w:cs="Tahoma"/>
                <w:szCs w:val="20"/>
              </w:rPr>
              <w:t>A. Przyborowska-Klimczak, W. Staszewski, Prawo dyplomatyczne i konsularne. Wybór dokumentów, Lublin 2005;</w:t>
            </w:r>
          </w:p>
          <w:p w14:paraId="64744DC9" w14:textId="77777777" w:rsidR="00EC3622" w:rsidRPr="0008430F" w:rsidRDefault="003B5386" w:rsidP="00982BBA">
            <w:pPr>
              <w:pStyle w:val="NormalnyWeb"/>
              <w:spacing w:before="0" w:beforeAutospacing="0" w:after="0" w:afterAutospacing="0" w:line="276" w:lineRule="auto"/>
              <w:rPr>
                <w:rFonts w:ascii="Corbel" w:hAnsi="Corbel"/>
              </w:rPr>
            </w:pPr>
            <w:r w:rsidRPr="0008430F">
              <w:rPr>
                <w:rFonts w:ascii="Corbel" w:hAnsi="Corbel" w:cs="Tahoma"/>
                <w:szCs w:val="20"/>
              </w:rPr>
              <w:t xml:space="preserve">3. </w:t>
            </w:r>
            <w:r w:rsidR="00EC3622" w:rsidRPr="0008430F">
              <w:rPr>
                <w:rFonts w:ascii="Corbel" w:hAnsi="Corbel" w:cs="Tahoma"/>
                <w:szCs w:val="20"/>
              </w:rPr>
              <w:t>S. Sawicki, Prawo konsularne. Studium praw</w:t>
            </w:r>
            <w:r w:rsidRPr="0008430F">
              <w:rPr>
                <w:rFonts w:ascii="Corbel" w:hAnsi="Corbel" w:cs="Tahoma"/>
                <w:szCs w:val="20"/>
              </w:rPr>
              <w:t>nomiędzynarodowe, Warszawa 2003;</w:t>
            </w:r>
          </w:p>
        </w:tc>
      </w:tr>
    </w:tbl>
    <w:p w14:paraId="463F29E8" w14:textId="77777777" w:rsidR="009A7D29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9A7D29" w:rsidRDefault="009A7D29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9A7D29">
      <w:pgSz w:w="11906" w:h="16838"/>
      <w:pgMar w:top="1134" w:right="1134" w:bottom="1134" w:left="1134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E6A51" w14:textId="77777777" w:rsidR="00532E4C" w:rsidRDefault="00532E4C">
      <w:pPr>
        <w:spacing w:after="0" w:line="240" w:lineRule="auto"/>
      </w:pPr>
      <w:r>
        <w:separator/>
      </w:r>
    </w:p>
  </w:endnote>
  <w:endnote w:type="continuationSeparator" w:id="0">
    <w:p w14:paraId="61CA0859" w14:textId="77777777" w:rsidR="00532E4C" w:rsidRDefault="0053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A330C" w14:textId="77777777" w:rsidR="00532E4C" w:rsidRDefault="00532E4C">
      <w:pPr>
        <w:spacing w:after="0" w:line="240" w:lineRule="auto"/>
      </w:pPr>
      <w:r>
        <w:separator/>
      </w:r>
    </w:p>
  </w:footnote>
  <w:footnote w:type="continuationSeparator" w:id="0">
    <w:p w14:paraId="79E2D670" w14:textId="77777777" w:rsidR="00532E4C" w:rsidRDefault="00532E4C">
      <w:pPr>
        <w:spacing w:after="0" w:line="240" w:lineRule="auto"/>
      </w:pPr>
      <w:r>
        <w:continuationSeparator/>
      </w:r>
    </w:p>
  </w:footnote>
  <w:footnote w:id="1">
    <w:p w14:paraId="0574AFC1" w14:textId="48903D84" w:rsidR="00762DE8" w:rsidRDefault="009A7D29" w:rsidP="00A34BA3">
      <w:r w:rsidRPr="00A34BA3">
        <w:rPr>
          <w:rStyle w:val="Znakiprzypiswdolnych"/>
          <w:rFonts w:ascii="Times New Roman" w:hAnsi="Times New Roman"/>
          <w:vertAlign w:val="superscript"/>
        </w:rPr>
        <w:footnoteRef/>
      </w:r>
      <w:r w:rsidR="00A34BA3"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  <w:p w14:paraId="17AD93B2" w14:textId="77777777" w:rsidR="009A7D29" w:rsidRDefault="009A7D29">
      <w:pPr>
        <w:pStyle w:val="footnotetext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58833388">
    <w:abstractNumId w:val="0"/>
  </w:num>
  <w:num w:numId="2" w16cid:durableId="1683627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48"/>
    <w:rsid w:val="0008430F"/>
    <w:rsid w:val="001737A8"/>
    <w:rsid w:val="00176BD7"/>
    <w:rsid w:val="001A5082"/>
    <w:rsid w:val="001A6EDE"/>
    <w:rsid w:val="002E220C"/>
    <w:rsid w:val="00356347"/>
    <w:rsid w:val="003B5386"/>
    <w:rsid w:val="003C6F48"/>
    <w:rsid w:val="00470284"/>
    <w:rsid w:val="004E26B4"/>
    <w:rsid w:val="00523731"/>
    <w:rsid w:val="00532E4C"/>
    <w:rsid w:val="00583326"/>
    <w:rsid w:val="005931DE"/>
    <w:rsid w:val="00687BF2"/>
    <w:rsid w:val="006C17C5"/>
    <w:rsid w:val="007018DD"/>
    <w:rsid w:val="00762DE8"/>
    <w:rsid w:val="007C23C0"/>
    <w:rsid w:val="00822297"/>
    <w:rsid w:val="00847881"/>
    <w:rsid w:val="0085352B"/>
    <w:rsid w:val="008B55B4"/>
    <w:rsid w:val="00923988"/>
    <w:rsid w:val="00952982"/>
    <w:rsid w:val="0096674A"/>
    <w:rsid w:val="00982BBA"/>
    <w:rsid w:val="009A7D29"/>
    <w:rsid w:val="009D3974"/>
    <w:rsid w:val="009D653A"/>
    <w:rsid w:val="00A20504"/>
    <w:rsid w:val="00A34BA3"/>
    <w:rsid w:val="00B700A2"/>
    <w:rsid w:val="00BE7C7D"/>
    <w:rsid w:val="00C34780"/>
    <w:rsid w:val="00CD5F8D"/>
    <w:rsid w:val="00D63DAC"/>
    <w:rsid w:val="00D80501"/>
    <w:rsid w:val="00DA385A"/>
    <w:rsid w:val="00EA5065"/>
    <w:rsid w:val="00EA6C0B"/>
    <w:rsid w:val="00EB4D95"/>
    <w:rsid w:val="00EB5440"/>
    <w:rsid w:val="00EC3622"/>
    <w:rsid w:val="00ED75C8"/>
    <w:rsid w:val="00EE7247"/>
    <w:rsid w:val="00F37360"/>
    <w:rsid w:val="00F65A3F"/>
    <w:rsid w:val="00FE4C42"/>
    <w:rsid w:val="09898B20"/>
    <w:rsid w:val="1134D092"/>
    <w:rsid w:val="11550DB2"/>
    <w:rsid w:val="1672EE77"/>
    <w:rsid w:val="16E9422B"/>
    <w:rsid w:val="1A8F1064"/>
    <w:rsid w:val="1BDFF683"/>
    <w:rsid w:val="1D811471"/>
    <w:rsid w:val="1F22A24A"/>
    <w:rsid w:val="23D72D98"/>
    <w:rsid w:val="240467BA"/>
    <w:rsid w:val="265BCA4E"/>
    <w:rsid w:val="2B48DD30"/>
    <w:rsid w:val="2B5BB35A"/>
    <w:rsid w:val="300DA332"/>
    <w:rsid w:val="3B3B38C8"/>
    <w:rsid w:val="3F789EA6"/>
    <w:rsid w:val="43C7AB71"/>
    <w:rsid w:val="485F35FB"/>
    <w:rsid w:val="50C9527B"/>
    <w:rsid w:val="513FCC82"/>
    <w:rsid w:val="53248FF0"/>
    <w:rsid w:val="536050B1"/>
    <w:rsid w:val="54D5B31C"/>
    <w:rsid w:val="59325855"/>
    <w:rsid w:val="602B68D4"/>
    <w:rsid w:val="608237AE"/>
    <w:rsid w:val="639A0227"/>
    <w:rsid w:val="656EB9B3"/>
    <w:rsid w:val="67B6A974"/>
    <w:rsid w:val="6DF7F157"/>
    <w:rsid w:val="6ECEE35F"/>
    <w:rsid w:val="73CDD08E"/>
    <w:rsid w:val="7BB6ADAC"/>
    <w:rsid w:val="7D52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8A82C6"/>
  <w15:chartTrackingRefBased/>
  <w15:docId w15:val="{3DB0F2BA-68F6-4BD0-A2AA-DA598543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customStyle="1" w:styleId="Numerstrony1">
    <w:name w:val="Numer strony1"/>
    <w:basedOn w:val="DefaultParagraphFont0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footnotetext0">
    <w:name w:val="footnote text0"/>
    <w:basedOn w:val="Normalny"/>
    <w:pPr>
      <w:suppressLineNumbers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63D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A34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A34BA3"/>
    <w:rPr>
      <w:rFonts w:ascii="Segoe UI" w:eastAsia="Calibr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848</Words>
  <Characters>5091</Characters>
  <Application>Microsoft Office Word</Application>
  <DocSecurity>0</DocSecurity>
  <Lines>42</Lines>
  <Paragraphs>11</Paragraphs>
  <ScaleCrop>false</ScaleCrop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Przemysław Maj</cp:lastModifiedBy>
  <cp:revision>11</cp:revision>
  <cp:lastPrinted>2019-02-06T20:12:00Z</cp:lastPrinted>
  <dcterms:created xsi:type="dcterms:W3CDTF">2021-12-20T08:23:00Z</dcterms:created>
  <dcterms:modified xsi:type="dcterms:W3CDTF">2025-11-15T00:44:00Z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